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07" w:rsidRPr="00E94F7F" w:rsidRDefault="00FC2BC3" w:rsidP="00FC2BC3">
      <w:pPr>
        <w:jc w:val="center"/>
        <w:rPr>
          <w:rFonts w:cs="Times New Roman"/>
          <w:b/>
          <w:szCs w:val="24"/>
        </w:rPr>
      </w:pPr>
      <w:r w:rsidRPr="00E94F7F">
        <w:rPr>
          <w:rFonts w:cs="Times New Roman"/>
          <w:b/>
          <w:szCs w:val="24"/>
        </w:rPr>
        <w:t>MINICURSOS E OFICINAS</w:t>
      </w:r>
    </w:p>
    <w:p w:rsidR="00FF73A9" w:rsidRPr="00E94F7F" w:rsidRDefault="00FC2BC3" w:rsidP="00FF73A9">
      <w:pPr>
        <w:jc w:val="center"/>
        <w:rPr>
          <w:rFonts w:cs="Times New Roman"/>
          <w:b/>
          <w:szCs w:val="24"/>
        </w:rPr>
      </w:pPr>
      <w:r w:rsidRPr="00E94F7F">
        <w:rPr>
          <w:rFonts w:cs="Times New Roman"/>
          <w:b/>
          <w:szCs w:val="24"/>
        </w:rPr>
        <w:t>UNIVS CIENTÍFICO</w:t>
      </w:r>
      <w:bookmarkStart w:id="0" w:name="_GoBack"/>
      <w:bookmarkEnd w:id="0"/>
    </w:p>
    <w:p w:rsidR="00FF73A9" w:rsidRPr="00E94F7F" w:rsidRDefault="00FF73A9" w:rsidP="00B96E85">
      <w:pPr>
        <w:jc w:val="center"/>
        <w:rPr>
          <w:rFonts w:cs="Times New Roman"/>
          <w:b/>
          <w:szCs w:val="24"/>
        </w:rPr>
      </w:pPr>
      <w:r w:rsidRPr="00E94F7F">
        <w:rPr>
          <w:rFonts w:cs="Times New Roman"/>
          <w:b/>
          <w:szCs w:val="24"/>
        </w:rPr>
        <w:t xml:space="preserve">29 de </w:t>
      </w:r>
      <w:r w:rsidR="003F313C" w:rsidRPr="00E94F7F">
        <w:rPr>
          <w:rFonts w:cs="Times New Roman"/>
          <w:b/>
          <w:szCs w:val="24"/>
        </w:rPr>
        <w:t>outubro</w:t>
      </w:r>
      <w:r w:rsidRPr="00E94F7F">
        <w:rPr>
          <w:rFonts w:cs="Times New Roman"/>
          <w:b/>
          <w:szCs w:val="24"/>
        </w:rPr>
        <w:t xml:space="preserve"> de 2021 – 14h às 16h</w:t>
      </w: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4106"/>
        <w:gridCol w:w="3969"/>
        <w:gridCol w:w="6379"/>
      </w:tblGrid>
      <w:tr w:rsidR="00FF73A9" w:rsidRPr="00E94F7F" w:rsidTr="00FF73A9">
        <w:tc>
          <w:tcPr>
            <w:tcW w:w="4106" w:type="dxa"/>
          </w:tcPr>
          <w:p w:rsidR="00FF73A9" w:rsidRPr="00E94F7F" w:rsidRDefault="00FF73A9" w:rsidP="00FC2BC3">
            <w:pPr>
              <w:jc w:val="center"/>
              <w:rPr>
                <w:rFonts w:cs="Times New Roman"/>
                <w:b/>
                <w:szCs w:val="24"/>
              </w:rPr>
            </w:pPr>
            <w:r w:rsidRPr="00E94F7F">
              <w:rPr>
                <w:rFonts w:cs="Times New Roman"/>
                <w:b/>
                <w:szCs w:val="24"/>
              </w:rPr>
              <w:t>Título</w:t>
            </w:r>
          </w:p>
        </w:tc>
        <w:tc>
          <w:tcPr>
            <w:tcW w:w="3969" w:type="dxa"/>
          </w:tcPr>
          <w:p w:rsidR="00FF73A9" w:rsidRPr="00E94F7F" w:rsidRDefault="00E94F7F" w:rsidP="00FC2BC3">
            <w:pPr>
              <w:jc w:val="center"/>
              <w:rPr>
                <w:rFonts w:cs="Times New Roman"/>
                <w:b/>
                <w:szCs w:val="24"/>
              </w:rPr>
            </w:pPr>
            <w:r w:rsidRPr="00E94F7F">
              <w:rPr>
                <w:rFonts w:cs="Times New Roman"/>
                <w:b/>
                <w:szCs w:val="24"/>
              </w:rPr>
              <w:t>Facilitador</w:t>
            </w:r>
            <w:r>
              <w:rPr>
                <w:rFonts w:cs="Times New Roman"/>
                <w:b/>
                <w:szCs w:val="24"/>
              </w:rPr>
              <w:t xml:space="preserve"> (a) </w:t>
            </w:r>
          </w:p>
        </w:tc>
        <w:tc>
          <w:tcPr>
            <w:tcW w:w="6379" w:type="dxa"/>
          </w:tcPr>
          <w:p w:rsidR="00FF73A9" w:rsidRPr="00E94F7F" w:rsidRDefault="00FF73A9" w:rsidP="00FC2BC3">
            <w:pPr>
              <w:jc w:val="center"/>
              <w:rPr>
                <w:rFonts w:cs="Times New Roman"/>
                <w:b/>
                <w:szCs w:val="24"/>
              </w:rPr>
            </w:pPr>
            <w:r w:rsidRPr="00E94F7F">
              <w:rPr>
                <w:rFonts w:cs="Times New Roman"/>
                <w:b/>
                <w:szCs w:val="24"/>
              </w:rPr>
              <w:t>Objetivo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OFICINA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Desenvolvimento de projetos científicos na ciência animal que promovem lucros.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C2BC3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</w:t>
            </w:r>
            <w:proofErr w:type="spellStart"/>
            <w:r w:rsidRPr="00E94F7F">
              <w:rPr>
                <w:rFonts w:cs="Times New Roman"/>
                <w:szCs w:val="24"/>
              </w:rPr>
              <w:t>Niraldo</w:t>
            </w:r>
            <w:proofErr w:type="spellEnd"/>
            <w:r w:rsidRPr="00E94F7F">
              <w:rPr>
                <w:rFonts w:cs="Times New Roman"/>
                <w:szCs w:val="24"/>
              </w:rPr>
              <w:t xml:space="preserve"> Muniz de Sousa 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Objetiva-se por meio dessa atividade, orientar projetos desenvolvidos na ciência animal, que proporcionem retorno financeiro e desenvolvimento de material científico.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Aulas mais interativas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F73A9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</w:t>
            </w:r>
            <w:proofErr w:type="spellStart"/>
            <w:r w:rsidRPr="00E94F7F">
              <w:rPr>
                <w:rFonts w:cs="Times New Roman"/>
                <w:szCs w:val="24"/>
              </w:rPr>
              <w:t>Nacim</w:t>
            </w:r>
            <w:proofErr w:type="spellEnd"/>
            <w:r w:rsidRPr="00E94F7F">
              <w:rPr>
                <w:rFonts w:cs="Times New Roman"/>
                <w:szCs w:val="24"/>
              </w:rPr>
              <w:t xml:space="preserve"> Miguel Francisco Júnior 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Ensin</w:t>
            </w:r>
            <w:r w:rsidR="000773AA">
              <w:rPr>
                <w:rFonts w:cs="Times New Roman"/>
                <w:szCs w:val="24"/>
              </w:rPr>
              <w:t>ar diversos softwares, que pode</w:t>
            </w:r>
            <w:r w:rsidRPr="00E94F7F">
              <w:rPr>
                <w:rFonts w:cs="Times New Roman"/>
                <w:szCs w:val="24"/>
              </w:rPr>
              <w:t>m ser utilizados para deixar as aulas mais interativas, ajudando na construção do conhecimento do aluno.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Fenomenologia da Libertação: teoria e prática clínica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C2BC3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</w:t>
            </w:r>
            <w:r w:rsidR="000773AA">
              <w:rPr>
                <w:rFonts w:cs="Times New Roman"/>
                <w:szCs w:val="24"/>
              </w:rPr>
              <w:t>Erick Linhares de Holanda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Apresentação de autores que utilizam das filosofias fenomenológicas para falar sobre libertação, numa perspectiva </w:t>
            </w:r>
            <w:proofErr w:type="spellStart"/>
            <w:r w:rsidRPr="00E94F7F">
              <w:rPr>
                <w:rFonts w:cs="Times New Roman"/>
                <w:szCs w:val="24"/>
              </w:rPr>
              <w:t>decolonial</w:t>
            </w:r>
            <w:proofErr w:type="spellEnd"/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Prevenção do suicídio: Com</w:t>
            </w:r>
            <w:r w:rsidR="000773AA">
              <w:rPr>
                <w:rFonts w:cs="Times New Roman"/>
                <w:szCs w:val="24"/>
              </w:rPr>
              <w:t xml:space="preserve">o identificar e ajudar a </w:t>
            </w:r>
            <w:r w:rsidRPr="00E94F7F">
              <w:rPr>
                <w:rFonts w:cs="Times New Roman"/>
                <w:szCs w:val="24"/>
              </w:rPr>
              <w:t>pessoas com comportamento suicida.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F73A9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Antônio Martins Vieira e Silva Junior </w:t>
            </w:r>
          </w:p>
        </w:tc>
        <w:tc>
          <w:tcPr>
            <w:tcW w:w="6379" w:type="dxa"/>
            <w:vAlign w:val="center"/>
          </w:tcPr>
          <w:p w:rsidR="00FF73A9" w:rsidRPr="00E94F7F" w:rsidRDefault="00E94F7F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</w:t>
            </w:r>
            <w:r w:rsidR="00FF73A9" w:rsidRPr="00E94F7F">
              <w:rPr>
                <w:rFonts w:cs="Times New Roman"/>
                <w:szCs w:val="24"/>
              </w:rPr>
              <w:t xml:space="preserve"> minicurso tem com</w:t>
            </w:r>
            <w:r w:rsidR="000773AA">
              <w:rPr>
                <w:rFonts w:cs="Times New Roman"/>
                <w:szCs w:val="24"/>
              </w:rPr>
              <w:t>o</w:t>
            </w:r>
            <w:r w:rsidR="00FF73A9" w:rsidRPr="00E94F7F">
              <w:rPr>
                <w:rFonts w:cs="Times New Roman"/>
                <w:szCs w:val="24"/>
              </w:rPr>
              <w:t xml:space="preserve"> objetivo esclarecer sobre o que é o suicídio, seus principais mitos e divulgar informações úteis sobre como ajudar pessoas que passam pelo problema. Minicurso voltado ao público em geral que tenha interesse na temática.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Biotecnologia Aplicada à Saúde Humana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F73A9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Helton Colares da Silva 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Apresentar os avanços da Biotecnologia moderna aplicados à prevenção, diagnóstico e tratamento de doenças humanas.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Atuações e técnicas em Psicologia Hospitalar.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F73A9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Lucas Ledo Alves 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 referido minicurso trata-se de uma expla</w:t>
            </w:r>
            <w:r w:rsidR="00E94F7F" w:rsidRPr="00E94F7F">
              <w:rPr>
                <w:rFonts w:cs="Times New Roman"/>
                <w:szCs w:val="24"/>
              </w:rPr>
              <w:t>na</w:t>
            </w:r>
            <w:r w:rsidRPr="00E94F7F">
              <w:rPr>
                <w:rFonts w:cs="Times New Roman"/>
                <w:szCs w:val="24"/>
              </w:rPr>
              <w:t>ção teórica/técnica do ofício do profissional de Psicologia dentro das instituições hospitalares, ampliando o repertório de conhecimento do público alvo em termos de gestão de Psicologia na saúde, bem como, na assistência hospitalar.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Modulação da resposta imunológica em pacientes com câncer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F73A9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</w:t>
            </w:r>
            <w:proofErr w:type="spellStart"/>
            <w:r w:rsidRPr="00E94F7F">
              <w:rPr>
                <w:rFonts w:cs="Times New Roman"/>
                <w:szCs w:val="24"/>
              </w:rPr>
              <w:t>Laysa</w:t>
            </w:r>
            <w:proofErr w:type="spellEnd"/>
            <w:r w:rsidRPr="00E94F7F">
              <w:rPr>
                <w:rFonts w:cs="Times New Roman"/>
                <w:szCs w:val="24"/>
              </w:rPr>
              <w:t xml:space="preserve"> Freire Franco e Silva 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Apresentar as maneiras como o sistema imunológico responde à presença de células cancerígenas e de como essa interação pode levar à regressão ou progressão da multiplicação de células tumorais, demonstrando a importância desses conhecimentos para a tomada de decisões terapêuticas na oncologia veterinária.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lastRenderedPageBreak/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Pesquisa Científica no Ensino Jurídico: aspectos práticos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C2BC3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Prof. José Antônio de Albuquerque Filho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Compreensão do processo de pesquisa em direito. Objetivo: Auxiliar os estudantes que iniciam a pesquisa em direito. Ensinar como se pesquisa na área jurídica.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 xml:space="preserve">Coleta de sangue por </w:t>
            </w:r>
            <w:proofErr w:type="spellStart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punsão</w:t>
            </w:r>
            <w:proofErr w:type="spellEnd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 xml:space="preserve"> venosa para exames laboratoriais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C2BC3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Prof. José Geraldo de Alencar Santos Júnior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Conhecer e praticar os tipos de coleta de sangue comumente utilizados em hospitais, clínicas e laboratórios, como coleta a vácuo e seringa e agulha.</w:t>
            </w:r>
          </w:p>
        </w:tc>
      </w:tr>
    </w:tbl>
    <w:p w:rsidR="00E94F7F" w:rsidRDefault="00E94F7F" w:rsidP="00FF73A9">
      <w:pPr>
        <w:jc w:val="center"/>
        <w:rPr>
          <w:rFonts w:cs="Times New Roman"/>
          <w:b/>
          <w:szCs w:val="24"/>
        </w:rPr>
      </w:pPr>
    </w:p>
    <w:p w:rsidR="00357EDF" w:rsidRPr="00E94F7F" w:rsidRDefault="00FF73A9" w:rsidP="000773AA">
      <w:pPr>
        <w:jc w:val="center"/>
        <w:rPr>
          <w:rFonts w:cs="Times New Roman"/>
          <w:b/>
          <w:szCs w:val="24"/>
        </w:rPr>
      </w:pPr>
      <w:r w:rsidRPr="00E94F7F">
        <w:rPr>
          <w:rFonts w:cs="Times New Roman"/>
          <w:b/>
          <w:szCs w:val="24"/>
        </w:rPr>
        <w:t xml:space="preserve">29 de </w:t>
      </w:r>
      <w:proofErr w:type="gramStart"/>
      <w:r w:rsidRPr="00E94F7F">
        <w:rPr>
          <w:rFonts w:cs="Times New Roman"/>
          <w:b/>
          <w:szCs w:val="24"/>
        </w:rPr>
        <w:t>Outubro</w:t>
      </w:r>
      <w:proofErr w:type="gramEnd"/>
      <w:r w:rsidRPr="00E94F7F">
        <w:rPr>
          <w:rFonts w:cs="Times New Roman"/>
          <w:b/>
          <w:szCs w:val="24"/>
        </w:rPr>
        <w:t xml:space="preserve"> de 2021 – 16h às 18h</w:t>
      </w: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4106"/>
        <w:gridCol w:w="3969"/>
        <w:gridCol w:w="6379"/>
      </w:tblGrid>
      <w:tr w:rsidR="00FF73A9" w:rsidRPr="00E94F7F" w:rsidTr="00FF73A9">
        <w:tc>
          <w:tcPr>
            <w:tcW w:w="4106" w:type="dxa"/>
          </w:tcPr>
          <w:p w:rsidR="00FF73A9" w:rsidRPr="00E94F7F" w:rsidRDefault="00FF73A9" w:rsidP="00357EDF">
            <w:pPr>
              <w:jc w:val="center"/>
              <w:rPr>
                <w:rFonts w:cs="Times New Roman"/>
                <w:b/>
                <w:szCs w:val="24"/>
              </w:rPr>
            </w:pPr>
            <w:r w:rsidRPr="00E94F7F">
              <w:rPr>
                <w:rFonts w:cs="Times New Roman"/>
                <w:b/>
                <w:szCs w:val="24"/>
              </w:rPr>
              <w:t>Título</w:t>
            </w:r>
          </w:p>
        </w:tc>
        <w:tc>
          <w:tcPr>
            <w:tcW w:w="3969" w:type="dxa"/>
          </w:tcPr>
          <w:p w:rsidR="00FF73A9" w:rsidRPr="00E94F7F" w:rsidRDefault="00FF73A9" w:rsidP="00357EDF">
            <w:pPr>
              <w:jc w:val="center"/>
              <w:rPr>
                <w:rFonts w:cs="Times New Roman"/>
                <w:b/>
                <w:szCs w:val="24"/>
              </w:rPr>
            </w:pPr>
            <w:r w:rsidRPr="00E94F7F">
              <w:rPr>
                <w:rFonts w:cs="Times New Roman"/>
                <w:b/>
                <w:szCs w:val="24"/>
              </w:rPr>
              <w:t>Professor</w:t>
            </w:r>
          </w:p>
        </w:tc>
        <w:tc>
          <w:tcPr>
            <w:tcW w:w="6379" w:type="dxa"/>
          </w:tcPr>
          <w:p w:rsidR="00FF73A9" w:rsidRPr="00E94F7F" w:rsidRDefault="00FF73A9" w:rsidP="00357EDF">
            <w:pPr>
              <w:jc w:val="center"/>
              <w:rPr>
                <w:rFonts w:cs="Times New Roman"/>
                <w:b/>
                <w:szCs w:val="24"/>
              </w:rPr>
            </w:pPr>
            <w:r w:rsidRPr="00E94F7F">
              <w:rPr>
                <w:rFonts w:cs="Times New Roman"/>
                <w:b/>
                <w:szCs w:val="24"/>
              </w:rPr>
              <w:t>Objetivo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OFICINA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E94F7F">
              <w:rPr>
                <w:rFonts w:cs="Times New Roman"/>
                <w:szCs w:val="24"/>
              </w:rPr>
              <w:t>Class</w:t>
            </w:r>
            <w:proofErr w:type="spellEnd"/>
            <w:r w:rsidRPr="00E94F7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94F7F">
              <w:rPr>
                <w:rFonts w:cs="Times New Roman"/>
                <w:szCs w:val="24"/>
              </w:rPr>
              <w:t>Gamification</w:t>
            </w:r>
            <w:proofErr w:type="spellEnd"/>
            <w:r w:rsidRPr="00E94F7F">
              <w:rPr>
                <w:rFonts w:cs="Times New Roman"/>
                <w:szCs w:val="24"/>
              </w:rPr>
              <w:t>: uso de jogos em aulas de monitoria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357EDF">
            <w:pPr>
              <w:rPr>
                <w:rFonts w:cs="Times New Roman"/>
                <w:szCs w:val="24"/>
              </w:rPr>
            </w:pPr>
            <w:proofErr w:type="spellStart"/>
            <w:r w:rsidRPr="00E94F7F">
              <w:rPr>
                <w:rFonts w:cs="Times New Roman"/>
                <w:szCs w:val="24"/>
              </w:rPr>
              <w:t>Profª</w:t>
            </w:r>
            <w:proofErr w:type="spellEnd"/>
            <w:r w:rsidRPr="00E94F7F">
              <w:rPr>
                <w:rFonts w:cs="Times New Roman"/>
                <w:szCs w:val="24"/>
              </w:rPr>
              <w:t>. Isabela Bezerra Ribeiro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 objetivo é demonstrar através de alguns sites como usar jogos para fazer revisão do conteúdo e atividades. Serão apresentadas duas plataformas gratuitas para criação de atividades dinâmicas, e até competitivas, que são um estímulo ao estudo.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Tópicos em Parasitologia Ambiental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357EDF">
            <w:pPr>
              <w:rPr>
                <w:rFonts w:cs="Times New Roman"/>
                <w:szCs w:val="24"/>
              </w:rPr>
            </w:pPr>
            <w:proofErr w:type="spellStart"/>
            <w:r w:rsidRPr="00E94F7F">
              <w:rPr>
                <w:rFonts w:cs="Times New Roman"/>
                <w:szCs w:val="24"/>
              </w:rPr>
              <w:t>Profª</w:t>
            </w:r>
            <w:proofErr w:type="spellEnd"/>
            <w:r w:rsidRPr="00E94F7F">
              <w:rPr>
                <w:rFonts w:cs="Times New Roman"/>
                <w:szCs w:val="24"/>
              </w:rPr>
              <w:t>. Érica Gomes da Silva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Os objetivos desse minicurso são: I) apresentar as estratégias utilizadas por parasitas para sua sobrevivência; II) Conhecer os parasitas e seus benefícios em animais de pequeno e grande porte; III) Discutir a importância Socioeconômica dos parasitas na economia ambiental.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Testes Funcionais para avaliação do paciente cardiopata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FF73A9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Prof. Galeno </w:t>
            </w:r>
            <w:proofErr w:type="spellStart"/>
            <w:r w:rsidRPr="00E94F7F">
              <w:rPr>
                <w:rFonts w:cs="Times New Roman"/>
                <w:szCs w:val="24"/>
              </w:rPr>
              <w:t>Jahnssen</w:t>
            </w:r>
            <w:proofErr w:type="spellEnd"/>
            <w:r w:rsidRPr="00E94F7F">
              <w:rPr>
                <w:rFonts w:cs="Times New Roman"/>
                <w:szCs w:val="24"/>
              </w:rPr>
              <w:t xml:space="preserve"> Bezerra de Menezes Ferreira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Os testes funcionais são de essencial importância para avaliação de condicionamento físico e funcionalidade do cardiopata. O objetivo do minicurso é ensinar ao aluno como fazer tais testes e interpretar os resultados.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Terapias comportamentais de terceira geração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357EDF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Prof. Antônio Martins Vieira e Silva Junior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 minicurso tem como conteúdo uma explanação sobre o desenvolvimento histórico das terapias comportamentais de terceira geração, chamadas de terapias contextuais, bem com irá realizar uma breve introdução sobre a terapia da aceitação e compromisso e a terapia comportamental dialética.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Novos horizontes após a graduação: como ingressar no mestrado?</w:t>
            </w:r>
          </w:p>
        </w:tc>
        <w:tc>
          <w:tcPr>
            <w:tcW w:w="3969" w:type="dxa"/>
            <w:vAlign w:val="center"/>
          </w:tcPr>
          <w:p w:rsidR="00FF73A9" w:rsidRPr="00E94F7F" w:rsidRDefault="00FF73A9" w:rsidP="00357EDF">
            <w:pPr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Prof. David Ederson Moreira do Nascimento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 xml:space="preserve">A atividade se propõe a discutir os desafios e facilidades do preparo singular para o ingresso em um programa de pós-graduação stricto sensu, com foco para as suas etapas processuais. Durante as atividades síncronas e/ou presenciais os </w:t>
            </w:r>
            <w:r w:rsidRPr="00E94F7F">
              <w:rPr>
                <w:rFonts w:cs="Times New Roman"/>
                <w:szCs w:val="24"/>
              </w:rPr>
              <w:lastRenderedPageBreak/>
              <w:t>discentes serão imersos em discussões quanto as principais e mais comuns etapas para ingresso em um programa de pós-graduação stricto sensu do tipo mestrado, podendo refletir e questionar quais atitudes devem ser assumidas, durante e após a graduação, no sentido de alcançar a aprovação no Mestrado. Os(as) participantes ainda terão a possibilidade de compreender o que é o stricto sensu e quais papeis devem ser assumidos enquanto discente e pesquisador.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lastRenderedPageBreak/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Os segredos da escrita de um relato de caso perfeito</w:t>
            </w:r>
          </w:p>
        </w:tc>
        <w:tc>
          <w:tcPr>
            <w:tcW w:w="3969" w:type="dxa"/>
            <w:vAlign w:val="center"/>
          </w:tcPr>
          <w:p w:rsidR="00FF73A9" w:rsidRPr="00E94F7F" w:rsidRDefault="000773AA" w:rsidP="00357E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Prof. </w:t>
            </w:r>
            <w:r w:rsidR="00FF73A9" w:rsidRPr="00E94F7F">
              <w:rPr>
                <w:rFonts w:cs="Times New Roman"/>
                <w:szCs w:val="24"/>
              </w:rPr>
              <w:t xml:space="preserve">João Carlos </w:t>
            </w:r>
            <w:proofErr w:type="spellStart"/>
            <w:r w:rsidR="00FF73A9" w:rsidRPr="00E94F7F">
              <w:rPr>
                <w:rFonts w:cs="Times New Roman"/>
                <w:szCs w:val="24"/>
              </w:rPr>
              <w:t>Zamae</w:t>
            </w:r>
            <w:proofErr w:type="spellEnd"/>
            <w:r w:rsidR="00FF73A9" w:rsidRPr="00E94F7F">
              <w:rPr>
                <w:rFonts w:cs="Times New Roman"/>
                <w:szCs w:val="24"/>
              </w:rPr>
              <w:t xml:space="preserve"> Rodrigues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szCs w:val="24"/>
              </w:rPr>
              <w:t>Ensinar os alunos qual o passo a passo da escrita de um relato de caso formalmente correto e agradável de ser lido</w:t>
            </w:r>
          </w:p>
        </w:tc>
      </w:tr>
      <w:tr w:rsidR="00FF73A9" w:rsidRPr="00E94F7F" w:rsidTr="00FF73A9">
        <w:tc>
          <w:tcPr>
            <w:tcW w:w="4106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E94F7F">
              <w:rPr>
                <w:rFonts w:cs="Times New Roman"/>
                <w:b/>
                <w:color w:val="FF0000"/>
                <w:szCs w:val="24"/>
              </w:rPr>
              <w:t>MINICURSO</w:t>
            </w:r>
          </w:p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 xml:space="preserve">Filiação </w:t>
            </w:r>
            <w:proofErr w:type="spellStart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socioafetiva</w:t>
            </w:r>
            <w:proofErr w:type="spellEnd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 xml:space="preserve"> e </w:t>
            </w:r>
            <w:proofErr w:type="spellStart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multiparentalidade</w:t>
            </w:r>
            <w:proofErr w:type="spellEnd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: a importância do afeto na formação familiar.</w:t>
            </w:r>
          </w:p>
        </w:tc>
        <w:tc>
          <w:tcPr>
            <w:tcW w:w="3969" w:type="dxa"/>
            <w:vAlign w:val="center"/>
          </w:tcPr>
          <w:p w:rsidR="00FF73A9" w:rsidRPr="00E94F7F" w:rsidRDefault="000773AA" w:rsidP="00357EDF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Profª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="00FF73A9" w:rsidRPr="00E94F7F">
              <w:rPr>
                <w:rFonts w:cs="Times New Roman"/>
                <w:szCs w:val="24"/>
              </w:rPr>
              <w:t>Daiana Ferreira de Alencar Diógenes</w:t>
            </w:r>
          </w:p>
        </w:tc>
        <w:tc>
          <w:tcPr>
            <w:tcW w:w="6379" w:type="dxa"/>
            <w:vAlign w:val="center"/>
          </w:tcPr>
          <w:p w:rsidR="00FF73A9" w:rsidRPr="00E94F7F" w:rsidRDefault="00FF73A9" w:rsidP="000773AA">
            <w:pPr>
              <w:jc w:val="both"/>
              <w:rPr>
                <w:rFonts w:cs="Times New Roman"/>
                <w:szCs w:val="24"/>
              </w:rPr>
            </w:pPr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 xml:space="preserve">O minicurso “filiação </w:t>
            </w:r>
            <w:proofErr w:type="spellStart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socioafetiva</w:t>
            </w:r>
            <w:proofErr w:type="spellEnd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 xml:space="preserve"> e </w:t>
            </w:r>
            <w:proofErr w:type="spellStart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multiparentalidade</w:t>
            </w:r>
            <w:proofErr w:type="spellEnd"/>
            <w:r w:rsidRPr="00E94F7F">
              <w:rPr>
                <w:rFonts w:cs="Times New Roman"/>
                <w:color w:val="202124"/>
                <w:spacing w:val="3"/>
                <w:szCs w:val="24"/>
                <w:shd w:val="clear" w:color="auto" w:fill="FFFFFF"/>
              </w:rPr>
              <w:t>: a importância do afeto na formação familiar” busca propiciar um debate sobre a entidade familiar a partir de diferentes perspectivas, com a análise do tratamento legal e jurisprudencial dos Tribunais brasileiros e a análise das questões psicológicos e sociais presentes na temática, objetivando investigar a entidade familiar a partir das questões atuais que são apresentadas pela sociedade brasileira.</w:t>
            </w:r>
          </w:p>
        </w:tc>
      </w:tr>
    </w:tbl>
    <w:p w:rsidR="00FC2BC3" w:rsidRPr="00E94F7F" w:rsidRDefault="00FC2BC3" w:rsidP="00FC2BC3">
      <w:pPr>
        <w:jc w:val="both"/>
        <w:rPr>
          <w:rFonts w:cs="Times New Roman"/>
          <w:b/>
          <w:szCs w:val="24"/>
        </w:rPr>
      </w:pPr>
    </w:p>
    <w:sectPr w:rsidR="00FC2BC3" w:rsidRPr="00E94F7F" w:rsidSect="000773AA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C3"/>
    <w:rsid w:val="000773AA"/>
    <w:rsid w:val="00357EDF"/>
    <w:rsid w:val="003B26FA"/>
    <w:rsid w:val="003F313C"/>
    <w:rsid w:val="00504507"/>
    <w:rsid w:val="00827867"/>
    <w:rsid w:val="008A4BCF"/>
    <w:rsid w:val="00B96E85"/>
    <w:rsid w:val="00CF5DB8"/>
    <w:rsid w:val="00D4521A"/>
    <w:rsid w:val="00E0054D"/>
    <w:rsid w:val="00E94F7F"/>
    <w:rsid w:val="00FC2BC3"/>
    <w:rsid w:val="00FE562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2B2D-D6EE-41B6-AABE-6F6A148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UniVS</dc:creator>
  <cp:keywords/>
  <dc:description/>
  <cp:lastModifiedBy>Edna Marketing</cp:lastModifiedBy>
  <cp:revision>8</cp:revision>
  <cp:lastPrinted>2021-09-13T11:38:00Z</cp:lastPrinted>
  <dcterms:created xsi:type="dcterms:W3CDTF">2021-09-03T11:54:00Z</dcterms:created>
  <dcterms:modified xsi:type="dcterms:W3CDTF">2021-10-08T13:57:00Z</dcterms:modified>
</cp:coreProperties>
</file>